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 DE PRENSA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1155cc"/>
          <w:sz w:val="45"/>
          <w:szCs w:val="45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El Colegio inicia acciones penales por la presunta apropiación indebida y administración desleal por parte del anterior equipo del Gobierno del ECOES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b w:val="1"/>
          <w:color w:val="08080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Sevilla, </w:t>
      </w:r>
      <w:r w:rsidDel="00000000" w:rsidR="00000000" w:rsidRPr="00000000">
        <w:rPr>
          <w:rtl w:val="0"/>
        </w:rPr>
        <w:t xml:space="preserve">24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rtl w:val="0"/>
        </w:rPr>
        <w:t xml:space="preserve">junio</w:t>
      </w:r>
      <w:r w:rsidDel="00000000" w:rsidR="00000000" w:rsidRPr="00000000">
        <w:rPr>
          <w:color w:val="000000"/>
          <w:rtl w:val="0"/>
        </w:rPr>
        <w:t xml:space="preserve"> de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El Excelentísimo Colegio Oficial de Enfermería de Sevilla (ECOES) cambió su Junta de Gobierno el pasado 14 de diciembre de 2021, tras un proceso electoral, y una de las promesas que hizo a la profesión enfermera era realizar una auditoría económica para conocer las cuentas de la entidad colegial.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resultados del análisis del contexto económico financiero de partida arrojó la detección de una serie de anomalías en la contabilidad del Colegio. Como consecuencia, el ECOES encargó la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realización de un informe pericial para determinar el alcance y cuantificación de las citadas irregularidades.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Las conclusiones del informe confirman la presunta utilización inapropiada de cantidades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importantes de fondos de la corporación para fines sin justificación y carentes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 soporte documental apropiado. Es por ello que, en virtud de las funciones y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obligaciones que estatutariamente le son propias al ECOES, la entidad colegial ha decidido poner estos hechos en conocimiento de los Tribunales e iniciar las acciones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correspondientes, en defensa de los intereses generales de este Colegio Profesional y del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colectivo de enfermeros a los que representa.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 investigación de los delitos de presunta apropiación indebida y administración desleal, por parte de algunos de los anteriores miembros del órgano de administración de la corporación,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ha sido encargada al despacho de abogados especialistas Nertis ETL Global.</w:t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-57146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5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AoVKhOQT+5QbXhVhIZtzI+Bvw==">AMUW2mXXzTMBxniPZY/6Lz8sUmd6+w7iUcvSvMktCdbeu5MoGyqaEhCU/EjfZSPv2foDoClijfWgW3ccTClG1fpBN9xxd60Ih4o8JkLhqpUcrPEJwRR0R2U=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