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6" w:rsidRDefault="005E2AB5" w:rsidP="00C7640E">
      <w:pPr>
        <w:pStyle w:val="Title1-Bold"/>
        <w:spacing w:line="240" w:lineRule="auto"/>
        <w:jc w:val="center"/>
        <w:rPr>
          <w:rFonts w:ascii="Calibri" w:hAnsi="Calibri" w:cs="Open Sans"/>
          <w:color w:val="006982"/>
          <w:sz w:val="44"/>
          <w:szCs w:val="44"/>
          <w:lang w:val="es-ES"/>
        </w:rPr>
      </w:pPr>
      <w:r>
        <w:rPr>
          <w:rFonts w:ascii="Calibri" w:hAnsi="Calibri" w:cs="Open Sans"/>
          <w:color w:val="006982"/>
          <w:sz w:val="44"/>
          <w:szCs w:val="44"/>
          <w:lang w:val="es-ES"/>
        </w:rPr>
        <w:t>¿Se debe p</w:t>
      </w:r>
      <w:r w:rsidR="00BC3ED7">
        <w:rPr>
          <w:rFonts w:ascii="Calibri" w:hAnsi="Calibri" w:cs="Open Sans"/>
          <w:color w:val="006982"/>
          <w:sz w:val="44"/>
          <w:szCs w:val="44"/>
          <w:lang w:val="es-ES"/>
        </w:rPr>
        <w:t>inza</w:t>
      </w:r>
      <w:r>
        <w:rPr>
          <w:rFonts w:ascii="Calibri" w:hAnsi="Calibri" w:cs="Open Sans"/>
          <w:color w:val="006982"/>
          <w:sz w:val="44"/>
          <w:szCs w:val="44"/>
          <w:lang w:val="es-ES"/>
        </w:rPr>
        <w:t>r</w:t>
      </w:r>
      <w:r w:rsidR="00BC3ED7">
        <w:rPr>
          <w:rFonts w:ascii="Calibri" w:hAnsi="Calibri" w:cs="Open Sans"/>
          <w:color w:val="006982"/>
          <w:sz w:val="44"/>
          <w:szCs w:val="44"/>
          <w:lang w:val="es-ES"/>
        </w:rPr>
        <w:t xml:space="preserve"> la sonda vesical</w:t>
      </w:r>
      <w:r w:rsidR="009E1E53">
        <w:rPr>
          <w:rFonts w:ascii="Calibri" w:hAnsi="Calibri" w:cs="Open Sans"/>
          <w:color w:val="006982"/>
          <w:sz w:val="44"/>
          <w:szCs w:val="44"/>
          <w:lang w:val="es-ES"/>
        </w:rPr>
        <w:t>antes de</w:t>
      </w:r>
      <w:r>
        <w:rPr>
          <w:rFonts w:ascii="Calibri" w:hAnsi="Calibri" w:cs="Open Sans"/>
          <w:color w:val="006982"/>
          <w:sz w:val="44"/>
          <w:szCs w:val="44"/>
          <w:lang w:val="es-ES"/>
        </w:rPr>
        <w:t xml:space="preserve"> su retirada?</w:t>
      </w:r>
    </w:p>
    <w:p w:rsidR="009646AE" w:rsidRPr="004D20AB" w:rsidRDefault="001C6071" w:rsidP="00C7640E">
      <w:pPr>
        <w:pStyle w:val="Title1-Bold"/>
        <w:spacing w:line="240" w:lineRule="auto"/>
        <w:jc w:val="center"/>
        <w:rPr>
          <w:rFonts w:ascii="Calibri" w:hAnsi="Calibri" w:cs="Open Sans"/>
          <w:caps/>
          <w:color w:val="00B0F0"/>
          <w:sz w:val="28"/>
          <w:szCs w:val="28"/>
          <w:lang w:val="es-ES"/>
        </w:rPr>
      </w:pPr>
      <w:r>
        <w:rPr>
          <w:rFonts w:ascii="Calibri" w:hAnsi="Calibri" w:cs="Open Sans"/>
          <w:color w:val="00B0F0"/>
          <w:sz w:val="28"/>
          <w:szCs w:val="28"/>
          <w:lang w:val="es-ES"/>
        </w:rPr>
        <w:t>JUNIO</w:t>
      </w:r>
      <w:r w:rsidR="004D20AB">
        <w:rPr>
          <w:rFonts w:ascii="Calibri" w:hAnsi="Calibri" w:cs="Open Sans"/>
          <w:color w:val="00B0F0"/>
          <w:sz w:val="28"/>
          <w:szCs w:val="28"/>
          <w:lang w:val="es-ES"/>
        </w:rPr>
        <w:t>-</w:t>
      </w:r>
      <w:r w:rsidR="007A18B6">
        <w:rPr>
          <w:rFonts w:ascii="Calibri" w:hAnsi="Calibri" w:cs="Open Sans"/>
          <w:color w:val="00B0F0"/>
          <w:sz w:val="28"/>
          <w:szCs w:val="28"/>
          <w:lang w:val="es-ES"/>
        </w:rPr>
        <w:t xml:space="preserve"> 202</w:t>
      </w:r>
      <w:r>
        <w:rPr>
          <w:rFonts w:ascii="Calibri" w:hAnsi="Calibri" w:cs="Open Sans"/>
          <w:color w:val="00B0F0"/>
          <w:sz w:val="28"/>
          <w:szCs w:val="28"/>
          <w:lang w:val="es-ES"/>
        </w:rPr>
        <w:t>2</w:t>
      </w:r>
    </w:p>
    <w:p w:rsidR="007A18B6" w:rsidRDefault="007A18B6" w:rsidP="007A18B6">
      <w:pPr>
        <w:jc w:val="both"/>
        <w:rPr>
          <w:rFonts w:ascii="Calibri" w:hAnsi="Calibri" w:cs="Open Sans"/>
          <w:b/>
          <w:color w:val="006982"/>
          <w:sz w:val="24"/>
        </w:rPr>
      </w:pPr>
    </w:p>
    <w:p w:rsidR="007A18B6" w:rsidRPr="007A18B6" w:rsidRDefault="007A18B6" w:rsidP="007A18B6">
      <w:pPr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A18B6">
        <w:rPr>
          <w:rFonts w:ascii="Calibri" w:hAnsi="Calibri" w:cs="Open Sans"/>
          <w:b/>
          <w:color w:val="006982"/>
          <w:sz w:val="24"/>
        </w:rPr>
        <w:t>Autor:</w:t>
      </w:r>
      <w:r w:rsidRPr="007A18B6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Dr. José Luis Gómez Urquiza</w:t>
      </w:r>
    </w:p>
    <w:p w:rsidR="007A18B6" w:rsidRPr="007A18B6" w:rsidRDefault="007A18B6" w:rsidP="007A18B6">
      <w:pPr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A18B6">
        <w:rPr>
          <w:rFonts w:ascii="Calibri" w:hAnsi="Calibri" w:cs="Open Sans"/>
          <w:b/>
          <w:color w:val="006982"/>
          <w:sz w:val="24"/>
        </w:rPr>
        <w:t>Fecha de elaboración:</w:t>
      </w:r>
      <w:r w:rsidR="00481018">
        <w:rPr>
          <w:rFonts w:ascii="Calibri" w:hAnsi="Calibri" w:cs="Open Sans"/>
          <w:color w:val="595959" w:themeColor="text1" w:themeTint="A6"/>
          <w:sz w:val="24"/>
          <w:szCs w:val="24"/>
        </w:rPr>
        <w:t>2</w:t>
      </w:r>
      <w:r w:rsidR="001C6071">
        <w:rPr>
          <w:rFonts w:ascii="Calibri" w:hAnsi="Calibri" w:cs="Open Sans"/>
          <w:color w:val="595959" w:themeColor="text1" w:themeTint="A6"/>
          <w:sz w:val="24"/>
          <w:szCs w:val="24"/>
        </w:rPr>
        <w:t>4</w:t>
      </w:r>
      <w:r w:rsidRPr="007A18B6">
        <w:rPr>
          <w:rFonts w:ascii="Calibri" w:hAnsi="Calibri" w:cs="Open Sans"/>
          <w:color w:val="595959" w:themeColor="text1" w:themeTint="A6"/>
          <w:sz w:val="24"/>
          <w:szCs w:val="24"/>
        </w:rPr>
        <w:t>/</w:t>
      </w:r>
      <w:r w:rsidR="001C6071">
        <w:rPr>
          <w:rFonts w:ascii="Calibri" w:hAnsi="Calibri" w:cs="Open Sans"/>
          <w:color w:val="595959" w:themeColor="text1" w:themeTint="A6"/>
          <w:sz w:val="24"/>
          <w:szCs w:val="24"/>
        </w:rPr>
        <w:t>06</w:t>
      </w:r>
      <w:r w:rsidRPr="007A18B6">
        <w:rPr>
          <w:rFonts w:ascii="Calibri" w:hAnsi="Calibri" w:cs="Open Sans"/>
          <w:color w:val="595959" w:themeColor="text1" w:themeTint="A6"/>
          <w:sz w:val="24"/>
          <w:szCs w:val="24"/>
        </w:rPr>
        <w:t>/2</w:t>
      </w:r>
      <w:r w:rsidR="004D20AB">
        <w:rPr>
          <w:rFonts w:ascii="Calibri" w:hAnsi="Calibri" w:cs="Open Sans"/>
          <w:color w:val="595959" w:themeColor="text1" w:themeTint="A6"/>
          <w:sz w:val="24"/>
          <w:szCs w:val="24"/>
        </w:rPr>
        <w:t>02</w:t>
      </w:r>
      <w:r w:rsidR="001C6071">
        <w:rPr>
          <w:rFonts w:ascii="Calibri" w:hAnsi="Calibri" w:cs="Open Sans"/>
          <w:color w:val="595959" w:themeColor="text1" w:themeTint="A6"/>
          <w:sz w:val="24"/>
          <w:szCs w:val="24"/>
        </w:rPr>
        <w:t>2</w:t>
      </w:r>
    </w:p>
    <w:p w:rsidR="003E7624" w:rsidRDefault="005E2AB5" w:rsidP="007A18B6">
      <w:p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>Las</w:t>
      </w:r>
      <w:r w:rsidR="00672D6B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</w:t>
      </w:r>
      <w:r>
        <w:rPr>
          <w:rFonts w:ascii="Calibri" w:hAnsi="Calibri" w:cs="Open Sans"/>
          <w:b/>
          <w:color w:val="006982"/>
          <w:sz w:val="24"/>
        </w:rPr>
        <w:t>sondas vesicales</w:t>
      </w:r>
      <w:r w:rsidR="00672D6B">
        <w:rPr>
          <w:rFonts w:ascii="Calibri" w:hAnsi="Calibri" w:cs="Open Sans"/>
          <w:b/>
          <w:color w:val="006982"/>
          <w:sz w:val="24"/>
        </w:rPr>
        <w:t xml:space="preserve"> </w:t>
      </w:r>
      <w:r>
        <w:rPr>
          <w:rFonts w:ascii="Calibri" w:hAnsi="Calibri" w:cs="Open Sans"/>
          <w:color w:val="595959" w:themeColor="text1" w:themeTint="A6"/>
          <w:sz w:val="24"/>
          <w:szCs w:val="24"/>
        </w:rPr>
        <w:t>son un dispositivo para el drenaje de la vejiga cuando no se vacía adecuadamente debido a alguna patología. Las sondas disponen de un globo, que se infla una vez introducida, para evitar que sea extraída de forma accidental y se conectan a una bolsa de drenaje que recoge el líquido acumulado en la vejiga.  Se pueden encontrar sondas vesicales de diferentes tamaños, elaboradas con diferentes materiales (por ejemplo, el látex o la silicona) y con formas diferentes como la recta o la sonda de punta acodada. Entre los diferentes tipos podemos encontrar la de Foley, Nelaton y Robinson.</w:t>
      </w:r>
    </w:p>
    <w:p w:rsidR="005E2AB5" w:rsidRDefault="005E2AB5" w:rsidP="007A18B6">
      <w:p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</w:p>
    <w:p w:rsidR="008E6023" w:rsidRDefault="005E2AB5" w:rsidP="007A18B6">
      <w:p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A la hora de </w:t>
      </w:r>
      <w:r w:rsidRPr="005E2AB5">
        <w:rPr>
          <w:rFonts w:ascii="Calibri" w:hAnsi="Calibri" w:cs="Open Sans"/>
          <w:b/>
          <w:color w:val="006982"/>
          <w:sz w:val="24"/>
        </w:rPr>
        <w:t>retirar una sonda</w:t>
      </w:r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 puede surgir la duda sobre la idoneidad o no de </w:t>
      </w:r>
      <w:r w:rsidRPr="005E2AB5">
        <w:rPr>
          <w:rFonts w:ascii="Calibri" w:hAnsi="Calibri" w:cs="Open Sans"/>
          <w:b/>
          <w:color w:val="006982"/>
          <w:sz w:val="24"/>
        </w:rPr>
        <w:t>pinzar/clampar</w:t>
      </w:r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 la sonda.</w:t>
      </w:r>
    </w:p>
    <w:p w:rsidR="005E2AB5" w:rsidRDefault="005E2AB5" w:rsidP="007A18B6">
      <w:p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</w:p>
    <w:p w:rsidR="00D0352D" w:rsidRDefault="005E2AB5" w:rsidP="007A18B6">
      <w:p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Durante la </w:t>
      </w:r>
      <w:r w:rsidRPr="004F74E7">
        <w:rPr>
          <w:rFonts w:ascii="Calibri" w:hAnsi="Calibri" w:cs="Open Sans"/>
          <w:b/>
          <w:color w:val="006982"/>
          <w:sz w:val="24"/>
        </w:rPr>
        <w:t>retirada de la sonda</w:t>
      </w:r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, </w:t>
      </w:r>
      <w:r w:rsidR="004F74E7">
        <w:rPr>
          <w:rFonts w:ascii="Calibri" w:hAnsi="Calibri" w:cs="Open Sans"/>
          <w:color w:val="595959" w:themeColor="text1" w:themeTint="A6"/>
          <w:sz w:val="24"/>
          <w:szCs w:val="24"/>
        </w:rPr>
        <w:t xml:space="preserve">varios estudios de revisión actuales y más antiguos indican que nos existe ningún </w:t>
      </w:r>
      <w:r w:rsidR="004F74E7" w:rsidRPr="00481018">
        <w:rPr>
          <w:rFonts w:ascii="Calibri" w:hAnsi="Calibri" w:cs="Open Sans"/>
          <w:color w:val="595959" w:themeColor="text1" w:themeTint="A6"/>
          <w:sz w:val="24"/>
          <w:szCs w:val="24"/>
        </w:rPr>
        <w:t xml:space="preserve">beneficio </w:t>
      </w:r>
      <w:r w:rsidR="00AB70A0" w:rsidRPr="00481018">
        <w:rPr>
          <w:rFonts w:ascii="Calibri" w:hAnsi="Calibri" w:cs="Open Sans"/>
          <w:color w:val="595959" w:themeColor="text1" w:themeTint="A6"/>
          <w:sz w:val="24"/>
          <w:szCs w:val="24"/>
        </w:rPr>
        <w:t xml:space="preserve">en los pacientes </w:t>
      </w:r>
      <w:r w:rsidR="009C109D" w:rsidRPr="00481018">
        <w:rPr>
          <w:rFonts w:ascii="Calibri" w:hAnsi="Calibri" w:cs="Open Sans"/>
          <w:color w:val="595959" w:themeColor="text1" w:themeTint="A6"/>
          <w:sz w:val="24"/>
          <w:szCs w:val="24"/>
        </w:rPr>
        <w:t>a</w:t>
      </w:r>
      <w:r w:rsidR="00AB70A0" w:rsidRPr="00481018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corto plazo </w:t>
      </w:r>
      <w:r w:rsidR="004F74E7" w:rsidRPr="00481018">
        <w:rPr>
          <w:rFonts w:ascii="Calibri" w:hAnsi="Calibri" w:cs="Open Sans"/>
          <w:color w:val="595959" w:themeColor="text1" w:themeTint="A6"/>
          <w:sz w:val="24"/>
          <w:szCs w:val="24"/>
        </w:rPr>
        <w:t>con respecto a la infección urinaria</w:t>
      </w:r>
      <w:r w:rsidR="00481181" w:rsidRPr="00481018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y bacteriuria</w:t>
      </w:r>
      <w:r w:rsidR="004F74E7" w:rsidRPr="00481018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del pinzamiento o clampaje de la sonda uretral antes de su retirada. También indican que no existen diferencias en la necesidad o riesgo de reinserción posterior de</w:t>
      </w:r>
      <w:r w:rsidR="009C109D" w:rsidRPr="00481018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la sonda</w:t>
      </w:r>
      <w:r w:rsidR="004F74E7" w:rsidRPr="00481018">
        <w:rPr>
          <w:rFonts w:ascii="Calibri" w:hAnsi="Calibri" w:cs="Open Sans"/>
          <w:color w:val="595959" w:themeColor="text1" w:themeTint="A6"/>
          <w:sz w:val="24"/>
          <w:szCs w:val="24"/>
        </w:rPr>
        <w:t>, en</w:t>
      </w:r>
      <w:r w:rsidR="004F74E7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la presencia de retención urinaria, de infección urinaria</w:t>
      </w:r>
      <w:r w:rsidR="00481181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a las 72 horas</w:t>
      </w:r>
      <w:r w:rsidR="00FD249A">
        <w:rPr>
          <w:rFonts w:ascii="Calibri" w:hAnsi="Calibri" w:cs="Open Sans"/>
          <w:color w:val="595959" w:themeColor="text1" w:themeTint="A6"/>
          <w:sz w:val="24"/>
          <w:szCs w:val="24"/>
        </w:rPr>
        <w:t>, disuria</w:t>
      </w:r>
      <w:r w:rsidR="00D0352D">
        <w:rPr>
          <w:rFonts w:ascii="Calibri" w:hAnsi="Calibri" w:cs="Open Sans"/>
          <w:color w:val="595959" w:themeColor="text1" w:themeTint="A6"/>
          <w:sz w:val="24"/>
          <w:szCs w:val="24"/>
        </w:rPr>
        <w:t>, tiempo de hospitalización</w:t>
      </w:r>
      <w:r w:rsidR="004F74E7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o síntomas subjetivos durante el vaciado cuando se compara con no realizar el pinzamiento.</w:t>
      </w:r>
      <w:r w:rsidR="00BB1AD5">
        <w:rPr>
          <w:rFonts w:ascii="Calibri" w:hAnsi="Calibri" w:cs="Open Sans"/>
          <w:color w:val="595959" w:themeColor="text1" w:themeTint="A6"/>
          <w:sz w:val="24"/>
          <w:szCs w:val="24"/>
        </w:rPr>
        <w:t>La recomendación del Centers for Disease Control and Prevention también indica que no es necesario realizar el pinzamiento de la sonda antes de la extracción.</w:t>
      </w:r>
    </w:p>
    <w:p w:rsidR="009E1E53" w:rsidRDefault="009E1E53" w:rsidP="007A18B6">
      <w:p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</w:p>
    <w:p w:rsidR="009646AE" w:rsidRDefault="00D0352D" w:rsidP="009E1E53">
      <w:p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>Aunque aún es necesaria más investigación, a</w:t>
      </w:r>
      <w:r w:rsidR="00FD249A">
        <w:rPr>
          <w:rFonts w:ascii="Calibri" w:hAnsi="Calibri" w:cs="Open Sans"/>
          <w:color w:val="595959" w:themeColor="text1" w:themeTint="A6"/>
          <w:sz w:val="24"/>
          <w:szCs w:val="24"/>
        </w:rPr>
        <w:t>lgunos estudios informan de diferencias en variables</w:t>
      </w:r>
      <w:r w:rsidR="00D8164F">
        <w:rPr>
          <w:rFonts w:ascii="Calibri" w:hAnsi="Calibri" w:cs="Open Sans"/>
          <w:color w:val="595959" w:themeColor="text1" w:themeTint="A6"/>
          <w:sz w:val="24"/>
          <w:szCs w:val="24"/>
        </w:rPr>
        <w:t>,</w:t>
      </w:r>
      <w:r w:rsidR="00FD249A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como el volumen de orina en el primer vaciado de la vejiga tras la retirada de la sonda</w:t>
      </w:r>
      <w:r w:rsidR="002F3AFE">
        <w:rPr>
          <w:rFonts w:ascii="Calibri" w:hAnsi="Calibri" w:cs="Open Sans"/>
          <w:color w:val="595959" w:themeColor="text1" w:themeTint="A6"/>
          <w:sz w:val="24"/>
          <w:szCs w:val="24"/>
        </w:rPr>
        <w:t>,</w:t>
      </w:r>
      <w:r w:rsidR="00BD3507">
        <w:rPr>
          <w:rFonts w:ascii="Calibri" w:hAnsi="Calibri" w:cs="Open Sans"/>
          <w:color w:val="595959" w:themeColor="text1" w:themeTint="A6"/>
          <w:sz w:val="24"/>
          <w:szCs w:val="24"/>
        </w:rPr>
        <w:t xml:space="preserve">siendo </w:t>
      </w:r>
      <w:r w:rsidR="00FD249A">
        <w:rPr>
          <w:rFonts w:ascii="Calibri" w:hAnsi="Calibri" w:cs="Open Sans"/>
          <w:color w:val="595959" w:themeColor="text1" w:themeTint="A6"/>
          <w:sz w:val="24"/>
          <w:szCs w:val="24"/>
        </w:rPr>
        <w:t>mayor en el grupo sin pinzamiento en la retirada</w:t>
      </w:r>
      <w:r w:rsidR="00653C2A">
        <w:rPr>
          <w:rFonts w:ascii="Calibri" w:hAnsi="Calibri" w:cs="Open Sans"/>
          <w:color w:val="595959" w:themeColor="text1" w:themeTint="A6"/>
          <w:sz w:val="24"/>
          <w:szCs w:val="24"/>
        </w:rPr>
        <w:t>.O</w:t>
      </w:r>
      <w:r w:rsidR="00BB1AD5">
        <w:rPr>
          <w:rFonts w:ascii="Calibri" w:hAnsi="Calibri" w:cs="Open Sans"/>
          <w:color w:val="595959" w:themeColor="text1" w:themeTint="A6"/>
          <w:sz w:val="24"/>
          <w:szCs w:val="24"/>
        </w:rPr>
        <w:t>tros</w:t>
      </w:r>
      <w:r w:rsidR="00AB70A0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estudios</w:t>
      </w:r>
      <w:r w:rsidR="00BD3507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informan </w:t>
      </w:r>
      <w:r w:rsidR="00BB1AD5">
        <w:rPr>
          <w:rFonts w:ascii="Calibri" w:hAnsi="Calibri" w:cs="Open Sans"/>
          <w:color w:val="595959" w:themeColor="text1" w:themeTint="A6"/>
          <w:sz w:val="24"/>
          <w:szCs w:val="24"/>
        </w:rPr>
        <w:t>de</w:t>
      </w:r>
      <w:r w:rsidR="00BD3507">
        <w:rPr>
          <w:rFonts w:ascii="Calibri" w:hAnsi="Calibri" w:cs="Open Sans"/>
          <w:color w:val="595959" w:themeColor="text1" w:themeTint="A6"/>
          <w:sz w:val="24"/>
          <w:szCs w:val="24"/>
        </w:rPr>
        <w:t xml:space="preserve">un </w:t>
      </w:r>
      <w:r w:rsidR="00FD249A">
        <w:rPr>
          <w:rFonts w:ascii="Calibri" w:hAnsi="Calibri" w:cs="Open Sans"/>
          <w:color w:val="595959" w:themeColor="text1" w:themeTint="A6"/>
          <w:sz w:val="24"/>
          <w:szCs w:val="24"/>
        </w:rPr>
        <w:t>menor tiempo</w:t>
      </w:r>
      <w:r w:rsidR="00BD3507">
        <w:rPr>
          <w:rFonts w:ascii="Calibri" w:hAnsi="Calibri" w:cs="Open Sans"/>
          <w:color w:val="595959" w:themeColor="text1" w:themeTint="A6"/>
          <w:sz w:val="24"/>
          <w:szCs w:val="24"/>
        </w:rPr>
        <w:t>para</w:t>
      </w:r>
      <w:r w:rsidR="00FD249A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el primer vaciado de la </w:t>
      </w:r>
      <w:r>
        <w:rPr>
          <w:rFonts w:ascii="Calibri" w:hAnsi="Calibri" w:cs="Open Sans"/>
          <w:color w:val="595959" w:themeColor="text1" w:themeTint="A6"/>
          <w:sz w:val="24"/>
          <w:szCs w:val="24"/>
        </w:rPr>
        <w:t>vejiga</w:t>
      </w:r>
      <w:r w:rsidR="00FD249A">
        <w:rPr>
          <w:rFonts w:ascii="Calibri" w:hAnsi="Calibri" w:cs="Open Sans"/>
          <w:color w:val="595959" w:themeColor="text1" w:themeTint="A6"/>
          <w:sz w:val="24"/>
          <w:szCs w:val="24"/>
        </w:rPr>
        <w:t xml:space="preserve">en las personas a las que se les pinzó la sonda antes de la </w:t>
      </w:r>
      <w:r>
        <w:rPr>
          <w:rFonts w:ascii="Calibri" w:hAnsi="Calibri" w:cs="Open Sans"/>
          <w:color w:val="595959" w:themeColor="text1" w:themeTint="A6"/>
          <w:sz w:val="24"/>
          <w:szCs w:val="24"/>
        </w:rPr>
        <w:t>retirada</w:t>
      </w:r>
      <w:r w:rsidR="00AB70A0">
        <w:rPr>
          <w:rFonts w:ascii="Calibri" w:hAnsi="Calibri" w:cs="Open Sans"/>
          <w:color w:val="595959" w:themeColor="text1" w:themeTint="A6"/>
          <w:sz w:val="24"/>
          <w:szCs w:val="24"/>
        </w:rPr>
        <w:t>.</w:t>
      </w:r>
    </w:p>
    <w:p w:rsidR="009E1E53" w:rsidRPr="009E1E53" w:rsidRDefault="009E1E53" w:rsidP="009E1E53">
      <w:p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</w:p>
    <w:p w:rsidR="00481018" w:rsidRDefault="00481018">
      <w:pPr>
        <w:rPr>
          <w:rFonts w:ascii="Calibri" w:hAnsi="Calibri" w:cs="Open Sans"/>
          <w:b/>
          <w:color w:val="006982"/>
          <w:sz w:val="28"/>
          <w:szCs w:val="24"/>
          <w:u w:val="single"/>
        </w:rPr>
      </w:pPr>
      <w:r>
        <w:rPr>
          <w:rFonts w:ascii="Calibri" w:hAnsi="Calibri" w:cs="Open Sans"/>
          <w:b/>
          <w:color w:val="006982"/>
          <w:sz w:val="28"/>
          <w:szCs w:val="24"/>
          <w:u w:val="single"/>
        </w:rPr>
        <w:br w:type="page"/>
      </w:r>
    </w:p>
    <w:p w:rsidR="009646AE" w:rsidRPr="00187EB9" w:rsidRDefault="009646AE" w:rsidP="009646AE">
      <w:pPr>
        <w:spacing w:after="0" w:line="276" w:lineRule="auto"/>
        <w:rPr>
          <w:rFonts w:ascii="Calibri" w:hAnsi="Calibri" w:cs="Open Sans"/>
          <w:b/>
          <w:color w:val="006982"/>
          <w:sz w:val="28"/>
          <w:szCs w:val="24"/>
          <w:u w:val="single"/>
        </w:rPr>
      </w:pPr>
      <w:r>
        <w:rPr>
          <w:rFonts w:ascii="Calibri" w:hAnsi="Calibri" w:cs="Open Sans"/>
          <w:b/>
          <w:color w:val="006982"/>
          <w:sz w:val="28"/>
          <w:szCs w:val="24"/>
          <w:u w:val="single"/>
        </w:rPr>
        <w:lastRenderedPageBreak/>
        <w:t>BIBLIOGRAFÍA</w:t>
      </w:r>
    </w:p>
    <w:p w:rsidR="00BB1AD5" w:rsidRDefault="00BB1AD5" w:rsidP="007A18B6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  <w:lang w:val="en-US"/>
        </w:rPr>
      </w:pPr>
      <w:r w:rsidRPr="00BB1AD5">
        <w:rPr>
          <w:rFonts w:ascii="Calibri" w:hAnsi="Calibri" w:cs="Open Sans"/>
          <w:color w:val="595959" w:themeColor="text1" w:themeTint="A6"/>
          <w:sz w:val="24"/>
          <w:szCs w:val="24"/>
          <w:lang w:val="en-US"/>
        </w:rPr>
        <w:t>Centers for Disease Control and Prevention</w:t>
      </w:r>
      <w:r>
        <w:rPr>
          <w:rFonts w:ascii="Calibri" w:hAnsi="Calibri" w:cs="Open Sans"/>
          <w:color w:val="595959" w:themeColor="text1" w:themeTint="A6"/>
          <w:sz w:val="24"/>
          <w:szCs w:val="24"/>
          <w:lang w:val="en-US"/>
        </w:rPr>
        <w:t xml:space="preserve">. Guideline for prevention of catheter-associated urinary tract infection. 2009. </w:t>
      </w:r>
    </w:p>
    <w:p w:rsidR="008255E3" w:rsidRDefault="005E2AB5" w:rsidP="007A18B6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  <w:lang w:val="en-US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  <w:lang w:val="en-US"/>
        </w:rPr>
        <w:t>Ellahi A, Stewart F, Kidd EA, Griffiths R, Fernandez R, Omar MI. Strategies for the removal of short-term indwelling urethral catheters in adults. Cochrane Database Syst Rev. 2021; 6(6):CD004011</w:t>
      </w:r>
    </w:p>
    <w:p w:rsidR="00B6213B" w:rsidRDefault="00D0352D" w:rsidP="007A18B6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  <w:lang w:val="en-US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  <w:lang w:val="en-US"/>
        </w:rPr>
        <w:t>Liu YS, Wei S, Elliot M. The effects of a catheter clamping protocol on bladder function in neurosurgical patients: a controlled trial. International Journal of Nursing Practice. 2015;21(1):29-36.</w:t>
      </w:r>
    </w:p>
    <w:p w:rsidR="00D0352D" w:rsidRPr="00D0352D" w:rsidRDefault="00D0352D" w:rsidP="00D0352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  <w:lang w:val="en-US"/>
        </w:rPr>
      </w:pPr>
      <w:r w:rsidRPr="00D0352D">
        <w:rPr>
          <w:rFonts w:ascii="Calibri" w:hAnsi="Calibri" w:cs="Open Sans"/>
          <w:color w:val="595959" w:themeColor="text1" w:themeTint="A6"/>
          <w:sz w:val="24"/>
          <w:szCs w:val="24"/>
          <w:lang w:val="en-US"/>
        </w:rPr>
        <w:t>Nyman MH, Johansson JE, Gustafsson M. A randomised controlled trial on the effect of clamping the indwelling urinary catheter in patients with hip fracture. Journal of Clinical Nursing 2010;19(3-4):405-13.</w:t>
      </w:r>
    </w:p>
    <w:p w:rsidR="00D0352D" w:rsidRPr="00D0352D" w:rsidRDefault="00D0352D" w:rsidP="00D0352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  <w:lang w:val="en-US"/>
        </w:rPr>
      </w:pPr>
      <w:r w:rsidRPr="00D0352D">
        <w:rPr>
          <w:rFonts w:ascii="Calibri" w:hAnsi="Calibri" w:cs="Open Sans"/>
          <w:color w:val="595959" w:themeColor="text1" w:themeTint="A6"/>
          <w:sz w:val="24"/>
          <w:szCs w:val="24"/>
          <w:lang w:val="en-US"/>
        </w:rPr>
        <w:t>Oberst MT, Graham D, Geller NL, Stearns MW Jr, Tiernan E. Catheter management programs and postoperative urinary dysfunction. Research in Nursing &amp; Health 1981;4(1):175-81.</w:t>
      </w:r>
    </w:p>
    <w:p w:rsidR="00D0352D" w:rsidRPr="00D0352D" w:rsidRDefault="00D0352D" w:rsidP="00D0352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  <w:lang w:val="en-US"/>
        </w:rPr>
      </w:pPr>
      <w:r w:rsidRPr="00D0352D">
        <w:rPr>
          <w:rFonts w:ascii="Calibri" w:hAnsi="Calibri" w:cs="Open Sans"/>
          <w:color w:val="595959" w:themeColor="text1" w:themeTint="A6"/>
          <w:sz w:val="24"/>
          <w:szCs w:val="24"/>
          <w:lang w:val="en-US"/>
        </w:rPr>
        <w:t>Williamson ML. Reducing post-catheterization bladder dysfunction by reconditioning. Nursing Research 1982;31(1):28-30.</w:t>
      </w:r>
    </w:p>
    <w:p w:rsidR="00D0352D" w:rsidRPr="00B6213B" w:rsidRDefault="00D0352D" w:rsidP="00D0352D">
      <w:pPr>
        <w:pStyle w:val="Prrafodelista"/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  <w:lang w:val="en-US"/>
        </w:rPr>
      </w:pPr>
    </w:p>
    <w:p w:rsidR="009646AE" w:rsidRPr="00B6213B" w:rsidRDefault="009646AE" w:rsidP="00992BDB">
      <w:pPr>
        <w:spacing w:after="0" w:line="276" w:lineRule="auto"/>
        <w:ind w:left="360"/>
        <w:jc w:val="both"/>
        <w:rPr>
          <w:rFonts w:ascii="Calibri" w:hAnsi="Calibri" w:cs="Open Sans"/>
          <w:color w:val="595959" w:themeColor="text1" w:themeTint="A6"/>
          <w:sz w:val="24"/>
          <w:szCs w:val="24"/>
          <w:lang w:val="en-US"/>
        </w:rPr>
      </w:pPr>
    </w:p>
    <w:p w:rsidR="009646AE" w:rsidRPr="00B6213B" w:rsidRDefault="009646AE" w:rsidP="009646AE">
      <w:pPr>
        <w:jc w:val="both"/>
        <w:rPr>
          <w:lang w:val="en-US"/>
        </w:rPr>
      </w:pPr>
    </w:p>
    <w:sectPr w:rsidR="009646AE" w:rsidRPr="00B6213B" w:rsidSect="009646AE">
      <w:headerReference w:type="default" r:id="rId10"/>
      <w:footerReference w:type="default" r:id="rId11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EB4" w:rsidRDefault="002F5EB4" w:rsidP="00BA09E4">
      <w:pPr>
        <w:spacing w:after="0" w:line="240" w:lineRule="auto"/>
      </w:pPr>
      <w:r>
        <w:separator/>
      </w:r>
    </w:p>
  </w:endnote>
  <w:endnote w:type="continuationSeparator" w:id="1">
    <w:p w:rsidR="002F5EB4" w:rsidRDefault="002F5EB4" w:rsidP="00BA09E4">
      <w:pPr>
        <w:spacing w:after="0" w:line="240" w:lineRule="auto"/>
      </w:pPr>
      <w:r>
        <w:continuationSeparator/>
      </w:r>
    </w:p>
  </w:endnote>
  <w:endnote w:type="continuationNotice" w:id="2">
    <w:p w:rsidR="002F5EB4" w:rsidRDefault="002F5EB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E4" w:rsidRDefault="00BA09E4" w:rsidP="00BA09E4">
    <w:pPr>
      <w:pStyle w:val="Piedepgina"/>
      <w:jc w:val="right"/>
    </w:pP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 xml:space="preserve">pág. </w:t>
    </w:r>
    <w:r w:rsidR="00A16BBE" w:rsidRPr="00A16BBE">
      <w:rPr>
        <w:rFonts w:eastAsiaTheme="minorEastAsia"/>
        <w:color w:val="00B0F0"/>
        <w:sz w:val="20"/>
        <w:szCs w:val="20"/>
      </w:rPr>
      <w:fldChar w:fldCharType="begin"/>
    </w:r>
    <w:r w:rsidRPr="00BA09E4">
      <w:rPr>
        <w:color w:val="00B0F0"/>
        <w:sz w:val="20"/>
        <w:szCs w:val="20"/>
      </w:rPr>
      <w:instrText>PAGE    \* MERGEFORMAT</w:instrText>
    </w:r>
    <w:r w:rsidR="00A16BBE" w:rsidRPr="00A16BBE">
      <w:rPr>
        <w:rFonts w:eastAsiaTheme="minorEastAsia"/>
        <w:color w:val="00B0F0"/>
        <w:sz w:val="20"/>
        <w:szCs w:val="20"/>
      </w:rPr>
      <w:fldChar w:fldCharType="separate"/>
    </w:r>
    <w:r w:rsidR="00672D6B" w:rsidRPr="00672D6B">
      <w:rPr>
        <w:rFonts w:asciiTheme="majorHAnsi" w:eastAsiaTheme="majorEastAsia" w:hAnsiTheme="majorHAnsi" w:cstheme="majorBidi"/>
        <w:noProof/>
        <w:color w:val="00B0F0"/>
        <w:sz w:val="20"/>
        <w:szCs w:val="20"/>
        <w:lang w:val="es-ES"/>
      </w:rPr>
      <w:t>2</w:t>
    </w:r>
    <w:r w:rsidR="00A16BBE" w:rsidRPr="00BA09E4">
      <w:rPr>
        <w:rFonts w:asciiTheme="majorHAnsi" w:eastAsiaTheme="majorEastAsia" w:hAnsiTheme="majorHAnsi" w:cstheme="majorBidi"/>
        <w:color w:val="00B0F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EB4" w:rsidRDefault="002F5EB4" w:rsidP="00BA09E4">
      <w:pPr>
        <w:spacing w:after="0" w:line="240" w:lineRule="auto"/>
      </w:pPr>
      <w:r>
        <w:separator/>
      </w:r>
    </w:p>
  </w:footnote>
  <w:footnote w:type="continuationSeparator" w:id="1">
    <w:p w:rsidR="002F5EB4" w:rsidRDefault="002F5EB4" w:rsidP="00BA09E4">
      <w:pPr>
        <w:spacing w:after="0" w:line="240" w:lineRule="auto"/>
      </w:pPr>
      <w:r>
        <w:continuationSeparator/>
      </w:r>
    </w:p>
  </w:footnote>
  <w:footnote w:type="continuationNotice" w:id="2">
    <w:p w:rsidR="002F5EB4" w:rsidRDefault="002F5EB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E4" w:rsidRDefault="00BA09E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-281940</wp:posOffset>
          </wp:positionV>
          <wp:extent cx="1260029" cy="5546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ITIVO SALUSPLAY REGISTRO 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29" cy="554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8241" behindDoc="1" locked="0" layoutInCell="1" allowOverlap="1">
          <wp:simplePos x="0" y="0"/>
          <wp:positionH relativeFrom="column">
            <wp:posOffset>5053965</wp:posOffset>
          </wp:positionH>
          <wp:positionV relativeFrom="paragraph">
            <wp:posOffset>3559810</wp:posOffset>
          </wp:positionV>
          <wp:extent cx="850265" cy="640715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40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7F6"/>
    <w:multiLevelType w:val="hybridMultilevel"/>
    <w:tmpl w:val="70FE55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779"/>
    <w:multiLevelType w:val="hybridMultilevel"/>
    <w:tmpl w:val="46BC11F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F2215"/>
    <w:multiLevelType w:val="hybridMultilevel"/>
    <w:tmpl w:val="4FEEA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73F32"/>
    <w:multiLevelType w:val="hybridMultilevel"/>
    <w:tmpl w:val="2DD25F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A379B"/>
    <w:multiLevelType w:val="hybridMultilevel"/>
    <w:tmpl w:val="04DCC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42B29"/>
    <w:multiLevelType w:val="hybridMultilevel"/>
    <w:tmpl w:val="F51AACC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544CF"/>
    <w:rsid w:val="00030D77"/>
    <w:rsid w:val="000544CF"/>
    <w:rsid w:val="00077BC2"/>
    <w:rsid w:val="0008559E"/>
    <w:rsid w:val="00087746"/>
    <w:rsid w:val="001A6E48"/>
    <w:rsid w:val="001C6071"/>
    <w:rsid w:val="002428A7"/>
    <w:rsid w:val="0027610C"/>
    <w:rsid w:val="002777E5"/>
    <w:rsid w:val="0028216B"/>
    <w:rsid w:val="002A6623"/>
    <w:rsid w:val="002F3AFE"/>
    <w:rsid w:val="002F5EB4"/>
    <w:rsid w:val="00303DE1"/>
    <w:rsid w:val="00366EBA"/>
    <w:rsid w:val="003B51ED"/>
    <w:rsid w:val="003E7624"/>
    <w:rsid w:val="004169CD"/>
    <w:rsid w:val="00430D3E"/>
    <w:rsid w:val="00443929"/>
    <w:rsid w:val="00480E34"/>
    <w:rsid w:val="00481018"/>
    <w:rsid w:val="00481181"/>
    <w:rsid w:val="004D20AB"/>
    <w:rsid w:val="004F06B3"/>
    <w:rsid w:val="004F74E7"/>
    <w:rsid w:val="005459C3"/>
    <w:rsid w:val="00555039"/>
    <w:rsid w:val="005701D0"/>
    <w:rsid w:val="005A55A6"/>
    <w:rsid w:val="005B0F3D"/>
    <w:rsid w:val="005E2AB5"/>
    <w:rsid w:val="00653C2A"/>
    <w:rsid w:val="00666075"/>
    <w:rsid w:val="00672D6B"/>
    <w:rsid w:val="00681B5C"/>
    <w:rsid w:val="006877E5"/>
    <w:rsid w:val="006A0185"/>
    <w:rsid w:val="006B5197"/>
    <w:rsid w:val="006B7EF9"/>
    <w:rsid w:val="006F0658"/>
    <w:rsid w:val="006F1CEF"/>
    <w:rsid w:val="00710C3D"/>
    <w:rsid w:val="00777739"/>
    <w:rsid w:val="007976FB"/>
    <w:rsid w:val="007A18B6"/>
    <w:rsid w:val="007E6D33"/>
    <w:rsid w:val="008030DA"/>
    <w:rsid w:val="008255E3"/>
    <w:rsid w:val="008B08D0"/>
    <w:rsid w:val="008D40F3"/>
    <w:rsid w:val="008E6023"/>
    <w:rsid w:val="00926343"/>
    <w:rsid w:val="009646AE"/>
    <w:rsid w:val="00992BDB"/>
    <w:rsid w:val="009A6825"/>
    <w:rsid w:val="009C109D"/>
    <w:rsid w:val="009C75E6"/>
    <w:rsid w:val="009E1E53"/>
    <w:rsid w:val="009E3DDA"/>
    <w:rsid w:val="00A0243D"/>
    <w:rsid w:val="00A16BBE"/>
    <w:rsid w:val="00A81673"/>
    <w:rsid w:val="00A97EF6"/>
    <w:rsid w:val="00AB70A0"/>
    <w:rsid w:val="00AC2DFF"/>
    <w:rsid w:val="00AC7D0C"/>
    <w:rsid w:val="00AF2B1C"/>
    <w:rsid w:val="00B54F6F"/>
    <w:rsid w:val="00B6213B"/>
    <w:rsid w:val="00B9122A"/>
    <w:rsid w:val="00BA09E4"/>
    <w:rsid w:val="00BB1AD5"/>
    <w:rsid w:val="00BB5405"/>
    <w:rsid w:val="00BC2A70"/>
    <w:rsid w:val="00BC3ED7"/>
    <w:rsid w:val="00BD3507"/>
    <w:rsid w:val="00BD524F"/>
    <w:rsid w:val="00BD7C0F"/>
    <w:rsid w:val="00C7640E"/>
    <w:rsid w:val="00CD2B8F"/>
    <w:rsid w:val="00CE54BC"/>
    <w:rsid w:val="00D0352D"/>
    <w:rsid w:val="00D565DD"/>
    <w:rsid w:val="00D80005"/>
    <w:rsid w:val="00D8164F"/>
    <w:rsid w:val="00DE3B8C"/>
    <w:rsid w:val="00DE6B2F"/>
    <w:rsid w:val="00EA398B"/>
    <w:rsid w:val="00EE2FEF"/>
    <w:rsid w:val="00F12363"/>
    <w:rsid w:val="00F45430"/>
    <w:rsid w:val="00F83618"/>
    <w:rsid w:val="00FD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E4"/>
  </w:style>
  <w:style w:type="paragraph" w:styleId="Piedepgina">
    <w:name w:val="footer"/>
    <w:basedOn w:val="Normal"/>
    <w:link w:val="Piedepgina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E4"/>
  </w:style>
  <w:style w:type="paragraph" w:customStyle="1" w:styleId="Title1-Bold">
    <w:name w:val="Title 1 - Bold"/>
    <w:basedOn w:val="Normal"/>
    <w:link w:val="Title1-BoldCar"/>
    <w:uiPriority w:val="99"/>
    <w:rsid w:val="009646A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tillium Web" w:hAnsi="Titillium Web" w:cs="Titillium Web"/>
      <w:b/>
      <w:bCs/>
      <w:color w:val="004D7C"/>
      <w:sz w:val="84"/>
      <w:szCs w:val="84"/>
      <w:lang w:val="en-GB"/>
    </w:rPr>
  </w:style>
  <w:style w:type="character" w:customStyle="1" w:styleId="TOC-Title">
    <w:name w:val="TOC - Title"/>
    <w:uiPriority w:val="99"/>
    <w:rsid w:val="009646AE"/>
    <w:rPr>
      <w:rFonts w:ascii="Open Sans ExtraBold" w:hAnsi="Open Sans ExtraBold" w:cs="Open Sans ExtraBold"/>
      <w:caps/>
      <w:sz w:val="28"/>
      <w:szCs w:val="28"/>
    </w:rPr>
  </w:style>
  <w:style w:type="character" w:customStyle="1" w:styleId="Title1-BoldCar">
    <w:name w:val="Title 1 - Bold Car"/>
    <w:basedOn w:val="Fuentedeprrafopredeter"/>
    <w:link w:val="Title1-Bold"/>
    <w:uiPriority w:val="99"/>
    <w:rsid w:val="009646AE"/>
    <w:rPr>
      <w:rFonts w:ascii="Titillium Web" w:hAnsi="Titillium Web" w:cs="Titillium Web"/>
      <w:b/>
      <w:bCs/>
      <w:color w:val="004D7C"/>
      <w:sz w:val="84"/>
      <w:szCs w:val="84"/>
      <w:lang w:val="en-GB"/>
    </w:rPr>
  </w:style>
  <w:style w:type="paragraph" w:styleId="Prrafodelista">
    <w:name w:val="List Paragraph"/>
    <w:basedOn w:val="Normal"/>
    <w:uiPriority w:val="34"/>
    <w:qFormat/>
    <w:rsid w:val="009646AE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A18B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18B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E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E34"/>
    <w:rPr>
      <w:rFonts w:ascii="Times New Roman" w:hAnsi="Times New Roman" w:cs="Times New Roman"/>
      <w:sz w:val="18"/>
      <w:szCs w:val="18"/>
    </w:rPr>
  </w:style>
  <w:style w:type="character" w:customStyle="1" w:styleId="citation-title">
    <w:name w:val="citation-title"/>
    <w:basedOn w:val="Fuentedeprrafopredeter"/>
    <w:rsid w:val="00D0352D"/>
  </w:style>
  <w:style w:type="character" w:customStyle="1" w:styleId="citation">
    <w:name w:val="citation"/>
    <w:basedOn w:val="Fuentedeprrafopredeter"/>
    <w:rsid w:val="00D0352D"/>
  </w:style>
  <w:style w:type="character" w:customStyle="1" w:styleId="pubyear">
    <w:name w:val="pubyear"/>
    <w:basedOn w:val="Fuentedeprrafopredeter"/>
    <w:rsid w:val="00D0352D"/>
  </w:style>
  <w:style w:type="character" w:customStyle="1" w:styleId="volume">
    <w:name w:val="volume"/>
    <w:basedOn w:val="Fuentedeprrafopredeter"/>
    <w:rsid w:val="00D03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7713708704F40A01F6A4F6D09E805" ma:contentTypeVersion="20" ma:contentTypeDescription="Crear nuevo documento." ma:contentTypeScope="" ma:versionID="038a41dd1b41947a5e98eafc890693d8">
  <xsd:schema xmlns:xsd="http://www.w3.org/2001/XMLSchema" xmlns:xs="http://www.w3.org/2001/XMLSchema" xmlns:p="http://schemas.microsoft.com/office/2006/metadata/properties" xmlns:ns2="1d5cb752-b8d0-4f98-9e18-dcf760dcd2e3" xmlns:ns3="b381f645-740b-42ed-b7a8-bca87c106756" targetNamespace="http://schemas.microsoft.com/office/2006/metadata/properties" ma:root="true" ma:fieldsID="2e7556ee4c0105284aa705ace670ca69" ns2:_="" ns3:_="">
    <xsd:import namespace="1d5cb752-b8d0-4f98-9e18-dcf760dcd2e3"/>
    <xsd:import namespace="b381f645-740b-42ed-b7a8-bca87c106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b752-b8d0-4f98-9e18-dcf760dcd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9219dfe4-4a4a-404d-98ff-a97be5b22e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f645-740b-42ed-b7a8-bca87c10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b0b64-1d7e-4e55-b3a7-9cb3d0ca4414}" ma:internalName="TaxCatchAll" ma:showField="CatchAllData" ma:web="b381f645-740b-42ed-b7a8-bca87c106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81f645-740b-42ed-b7a8-bca87c106756" xsi:nil="true"/>
    <lcf76f155ced4ddcb4097134ff3c332f xmlns="1d5cb752-b8d0-4f98-9e18-dcf760dcd2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C36E1-1A0E-4727-8AB9-A8434DAEA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b752-b8d0-4f98-9e18-dcf760dcd2e3"/>
    <ds:schemaRef ds:uri="b381f645-740b-42ed-b7a8-bca87c10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44184-73E5-4DDE-9405-60D01E795056}">
  <ds:schemaRefs>
    <ds:schemaRef ds:uri="http://schemas.microsoft.com/office/2006/metadata/properties"/>
    <ds:schemaRef ds:uri="http://schemas.microsoft.com/office/infopath/2007/PartnerControls"/>
    <ds:schemaRef ds:uri="b381f645-740b-42ed-b7a8-bca87c106756"/>
    <ds:schemaRef ds:uri="1d5cb752-b8d0-4f98-9e18-dcf760dcd2e3"/>
  </ds:schemaRefs>
</ds:datastoreItem>
</file>

<file path=customXml/itemProps3.xml><?xml version="1.0" encoding="utf-8"?>
<ds:datastoreItem xmlns:ds="http://schemas.openxmlformats.org/officeDocument/2006/customXml" ds:itemID="{12A3CA35-5353-44C4-A4EF-01D6CEF51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Salusplay</dc:creator>
  <cp:keywords/>
  <dc:description/>
  <cp:lastModifiedBy>Eva Acevedo</cp:lastModifiedBy>
  <cp:revision>11</cp:revision>
  <dcterms:created xsi:type="dcterms:W3CDTF">2021-12-20T15:50:00Z</dcterms:created>
  <dcterms:modified xsi:type="dcterms:W3CDTF">2022-07-19T08:11:00Z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0x010100B857713708704F40A01F6A4F6D09E805</vt:lpwstr>
  </property>
</Properties>
</file>