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2623185" cy="900430"/>
            <wp:effectExtent b="0" l="0" r="0" t="0"/>
            <wp:wrapSquare wrapText="bothSides" distB="0" distT="0" distL="114300" distR="114300"/>
            <wp:docPr descr="\\SERVeR\Nadia\NADIA DEPARTAMENTO COMUNICACIÓN\DISEÑO GRÁFICO LOGO\Identidad corporativa\logo-np.jpg" id="1" name="image1.jpg"/>
            <a:graphic>
              <a:graphicData uri="http://schemas.openxmlformats.org/drawingml/2006/picture">
                <pic:pic>
                  <pic:nvPicPr>
                    <pic:cNvPr descr="\\SERVeR\Nadia\NADIA DEPARTAMENTO COMUNICACIÓN\DISEÑO GRÁFICO LOGO\Identidad corporativa\logo-np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900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b w:val="1"/>
          <w:color w:val="05050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50505"/>
          <w:sz w:val="22"/>
          <w:szCs w:val="22"/>
          <w:rtl w:val="0"/>
        </w:rPr>
        <w:t xml:space="preserve">NOTA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El Excelentísimo Colegio Oficial de Enfermería de Sevilla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lanza un curso dirigido a toda la población para prevenir las lesiones osteomusculares, los problemas visuales y el estrés relacionado con el trabajo o el estudio con ordenadores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50505"/>
          <w:sz w:val="22"/>
          <w:szCs w:val="22"/>
          <w:rtl w:val="0"/>
        </w:rPr>
        <w:t xml:space="preserve">Sevilla, 21 de noviembre de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Excelentísimo Colegio de Enfermería de Sevilla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(ECOES) lanza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curso  gratuito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‘Prevención de Lesiones en el uso de Ordenadores’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dirigido 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toda la población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 que tendrá lugar en modo on-line el próximo 28 de noviembre.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202124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ECOES es el primer colegio profesional en toda Andalucía en ofrecer un servicio de conocimiento científico a sus colegiados a través de la empresa Salusplay, dedicada al contenido multimedia, recursos web exclusiv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 y formación sanitaria. Sin embargo, en esta ocasión, la entidad ha ampliado el cupo con la idea de llegar a toda la población con la finalidad de enseñar a prevenir las lesiones osteomusculares, los problemas visuales o el estrés relacionadas con el trabajo o estudio con ordenadores. Lo hará a través de Saluslife, un </w:t>
      </w:r>
      <w:r w:rsidDel="00000000" w:rsidR="00000000" w:rsidRPr="00000000">
        <w:rPr>
          <w:rFonts w:ascii="Calibri" w:cs="Calibri" w:eastAsia="Calibri" w:hAnsi="Calibri"/>
          <w:color w:val="202124"/>
          <w:sz w:val="22"/>
          <w:szCs w:val="22"/>
          <w:highlight w:val="white"/>
          <w:rtl w:val="0"/>
        </w:rPr>
        <w:t xml:space="preserve">servicio dirigido a formar a la ciudadanía sobre prevención, promoción y actuación ante problemas de salud.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inscripciones a esta formación ya están abiertas a través de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https://www.saluslife.app/Sevilla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basada en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contenidos audiovisuales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tras la superación de un ‘serious game’, el alumno obtendrá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certificado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superación emitido por el ECOES.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Víctor Bohórquez Sánchez, presidente del ECOES, explica que “u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58,7%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de los problemas de salud que tiene la población trabajadora, son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lesiones osteomusculares,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de los cuales, el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44,2% de ellos se deben a problemas de espalda y el 35,2% a problemas de cuello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Además,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16,2%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de los problemas de la salud en el trabajo se relaciona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estrés, depresión o ansiedad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y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1,6% a fatiga ocular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Esta información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reveladora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 desprende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informe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Problemas o efectos adversos para la salud y el bienestar relacionados con el trabajo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desarrollado por Instituto Nacional de Seguridad y Salud en el Trabajo durante el año 2021.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 la vez, el mencionado informe indica que el 62,6% de los problemas musculares, el 16,4% de los casos de estrés, depresión o ansiedad y el 0,7% de los casos de dolor de cabeza y/o fatiga visual, tienen una relación directa con los trabajos en los que se utiliza habitualmente ordenadores y pantallas de visualización de datos.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ECOES ha tenido en cuenta estas conclusiones tan reveladoras y, como entidad colegial que vela por las enfermeras, apuesta firmemente por los cuidados de los ciudadanos e impulsa la prevención para la salud, ha decidido poner a alcance de la población una formación gratuita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 el fin de prevenir el mayor número de lesiones osteomusculares, problemas visuales y estrés, derivado del trabajo o estudio con ordenadores.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Inscripción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Todas las personas interesadas en realizar esta formación on-line gratuita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que se impartirá entre 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28 de noviembre y el 28 de diciembre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desde la plataforma SalusLife, deberán inscribirse a través del siguiente enlace: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gjdgxs" w:id="0"/>
      <w:bookmarkEnd w:id="0"/>
      <w:hyperlink r:id="rId9">
        <w:r w:rsidDel="00000000" w:rsidR="00000000" w:rsidRPr="00000000">
          <w:rPr>
            <w:rFonts w:ascii="Calibri" w:cs="Calibri" w:eastAsia="Calibri" w:hAnsi="Calibri"/>
            <w:b w:val="1"/>
            <w:sz w:val="22"/>
            <w:szCs w:val="22"/>
            <w:u w:val="single"/>
            <w:vertAlign w:val="baseline"/>
            <w:rtl w:val="0"/>
          </w:rPr>
          <w:t xml:space="preserve">https://www.saluslife.app/Sevilla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El desarrollo del curso ‘Prevención de Lesiones en el uso de Ordenadores’ será impartido por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Pablo Tomé Bravo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enfermero especialista en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nfermería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rabajo y docente de la Escuela Nacional de Medicina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rabajo.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El curso “Prevención de Lesiones en el Uso de Ordenadores” está estructurado en los siguientes tres temas: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Tema 1. Definición y conceptos básicos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Tema 2. Riesgos asociados al trabajo con Pantallas de Visualización de Datos: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2.1. Fatiga física y lesiones musculoesqueléticas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2.2. Fatiga visual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2.3. Carga mental y estrés</w:t>
      </w:r>
    </w:p>
    <w:p w:rsidR="00000000" w:rsidDel="00000000" w:rsidP="00000000" w:rsidRDefault="00000000" w:rsidRPr="00000000" w14:paraId="0000002C">
      <w:pPr>
        <w:ind w:left="144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Tema 3. Medidas preventivas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3.1. Fatiga física y lesiones musculoesqueléticas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3.2. Fatiga visual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3.3. Carga mental y estrés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Según explica Carlos Valdespina, enfermero y director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SalusPlay, “los alumnos de este curso contarán con un manual en formato pdf, 13 vídeos y podcasts. Este aprendizaje basado en ‘píldoras’ audiovisuales de una duración breve, favorece la retención de conocimientos”, destaca el experto.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Formación en Empresas y Centros Educativos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Aquellos centros educativos y organizaciones empresariales que quieran fomentar la salud de sus alumnos/as o trabajadores/as, pueden participar gratuitamente enviando un email a info@salusplay.com e indicando que quieren que SalusLife les incluya como organización.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Una vez recibida la solicitud, les enviaremos un enlace para facilitar su inscripción.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079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Excelentísimo Colegio Oficial de Enfermería de Sevilla</w:t>
    </w:r>
  </w:p>
  <w:p w:rsidR="00000000" w:rsidDel="00000000" w:rsidP="00000000" w:rsidRDefault="00000000" w:rsidRPr="00000000" w14:paraId="0000003B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Avda. Ramón y Cajal, 20. 41005 - Sevilla. Tel: 954 93 38 00 - Fax: 954 93 38 03. </w:t>
    </w:r>
  </w:p>
  <w:p w:rsidR="00000000" w:rsidDel="00000000" w:rsidP="00000000" w:rsidRDefault="00000000" w:rsidRPr="00000000" w14:paraId="0000003C">
    <w:pPr>
      <w:tabs>
        <w:tab w:val="center" w:pos="4252"/>
        <w:tab w:val="right" w:pos="8504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Contacto: Nadia Osman García / Teléfono: 606 61 11 98 / E-mail: nadia@ecoes.es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851"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basedOn w:val="Fuentedepárrafopredeter.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saluslife.app/Sevil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saluslife.app/Sevi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LAH72fIkJN7CzfsWa7BM452YA==">AMUW2mUXZeNLDvaitapgaKfhg3Hk8PPMYRAekHxin9bBV+OHJAQsRp5k5QR+e4b7mq3vXGyTL6anVtPSktRb+TZ7Cv6QTFaNRibdebDuWqsCch/AT2KXIHaoZtxc3mtZUnoy+i4Mssds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2022-11-10T10:31:00Z</dcterms:created>
  <dc:creator>Usuario de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Order">
    <vt:lpstr>7600.00000000000</vt:lpstr>
  </property>
  <property fmtid="{D5CDD505-2E9C-101B-9397-08002B2CF9AE}" pid="4" name="TaxCatchAll">
    <vt:lpstr/>
  </property>
  <property fmtid="{D5CDD505-2E9C-101B-9397-08002B2CF9AE}" pid="5" name="lcf76f155ced4ddcb4097134ff3c332f">
    <vt:lpstr/>
  </property>
</Properties>
</file>